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hint="default" w:asciiTheme="majorEastAsia" w:hAnsiTheme="majorEastAsia" w:eastAsiaTheme="majorEastAsia" w:cstheme="majorEastAsia"/>
          <w:bCs/>
          <w:sz w:val="30"/>
          <w:szCs w:val="30"/>
        </w:rPr>
      </w:pPr>
      <w:bookmarkStart w:id="0" w:name="_GoBack"/>
      <w:bookmarkEnd w:id="0"/>
      <w:r>
        <w:rPr>
          <w:rFonts w:ascii="Microsoft YaHei" w:hAnsi="Microsoft YaHei" w:eastAsia="Microsoft YaHei" w:cs="Microsoft YaHei"/>
          <w:color w:val="093E7E"/>
          <w:sz w:val="30"/>
          <w:szCs w:val="30"/>
        </w:rPr>
        <w:t>西南医科大学校本部2018年诚聘海内外英才</w:t>
      </w:r>
    </w:p>
    <w:p>
      <w:pPr>
        <w:pStyle w:val="5"/>
        <w:widowControl/>
        <w:spacing w:before="76" w:beforeAutospacing="0" w:after="76" w:afterAutospacing="0" w:line="400" w:lineRule="exact"/>
        <w:ind w:firstLine="448"/>
        <w:jc w:val="both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西南医科大学是四川省省属普通高等院校，坐落在川滇黔渝结合部的国家历史文化名城——泸州市，学校始建于1951年，其前身是西南区川南医士学校。1959年升格为泸州医学专科学校，1978年升格并更名为泸州医学院，2015年经教育部批准更名为西南医科大学。1993年成为硕士学位授权单位，2001年起先后开始联合培养博士和中医师承博士，2003年获学历教育留学生招生资格。2010年获准设立国家级博士后科研工作站。 </w:t>
      </w:r>
    </w:p>
    <w:p>
      <w:pPr>
        <w:pStyle w:val="5"/>
        <w:widowControl/>
        <w:spacing w:before="76" w:beforeAutospacing="0" w:after="76" w:afterAutospacing="0" w:line="400" w:lineRule="exact"/>
        <w:ind w:firstLine="448"/>
        <w:jc w:val="both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西南医科大学以医学为主，理学、管理学、法学等多学科协调发展。现有硕士学位一级学科授权点7个，专业学位7个，省部级重点学科7个；有26个普通本科专业，其中国家级特色专业3个，本科第一批次招生专业13个，双学位专业5个；是国家第一批“卓越医生教育培养计划项目” “临床医学专业综合改革” “临床医学硕士专业学位研究生培养模式改革”试点高校；是四川省卓越法律人才教育培养计划示范性实践教学基地；是“四川2011心血管疾病防治协同创新中心”牵头单位。现面向海内外诚聘各类英才，具体如下： </w:t>
      </w:r>
    </w:p>
    <w:p>
      <w:pPr>
        <w:pStyle w:val="5"/>
        <w:widowControl/>
        <w:spacing w:before="76" w:beforeAutospacing="0" w:after="76" w:afterAutospacing="0" w:line="400" w:lineRule="exact"/>
        <w:ind w:firstLine="448"/>
        <w:jc w:val="both"/>
        <w:rPr>
          <w:rFonts w:ascii="Microsoft YaHei" w:hAnsi="Microsoft YaHei" w:eastAsia="Microsoft YaHei" w:cs="Microsoft YaHei"/>
          <w:color w:val="313131"/>
          <w:sz w:val="22"/>
          <w:szCs w:val="22"/>
        </w:rPr>
      </w:pPr>
    </w:p>
    <w:p>
      <w:pPr>
        <w:spacing w:line="400" w:lineRule="exact"/>
        <w:rPr>
          <w:rFonts w:asciiTheme="majorEastAsia" w:hAnsiTheme="majorEastAsia" w:eastAsiaTheme="majorEastAsia" w:cstheme="majorEastAsia"/>
          <w:b/>
          <w:sz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</w:rPr>
        <w:t>一、需求专业</w:t>
      </w:r>
    </w:p>
    <w:tbl>
      <w:tblPr>
        <w:tblStyle w:val="10"/>
        <w:tblW w:w="7526" w:type="dxa"/>
        <w:jc w:val="center"/>
        <w:tblCellSpacing w:w="7" w:type="dxa"/>
        <w:tblInd w:w="4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shd w:val="clear" w:color="auto" w:fill="BABAB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7"/>
        <w:gridCol w:w="2763"/>
        <w:gridCol w:w="26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7" w:type="dxa"/>
          <w:jc w:val="center"/>
        </w:trPr>
        <w:tc>
          <w:tcPr>
            <w:tcW w:w="2096" w:type="dxa"/>
            <w:shd w:val="clear" w:color="auto" w:fill="F3F3F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b/>
                <w:color w:val="3E3E3E"/>
                <w:szCs w:val="21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color w:val="3E3E3E"/>
                <w:kern w:val="0"/>
                <w:szCs w:val="21"/>
              </w:rPr>
              <w:t xml:space="preserve">序号 </w:t>
            </w:r>
          </w:p>
        </w:tc>
        <w:tc>
          <w:tcPr>
            <w:tcW w:w="2749" w:type="dxa"/>
            <w:shd w:val="clear" w:color="auto" w:fill="F3F3F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b/>
                <w:color w:val="3E3E3E"/>
                <w:szCs w:val="21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color w:val="3E3E3E"/>
                <w:kern w:val="0"/>
                <w:szCs w:val="21"/>
              </w:rPr>
              <w:t xml:space="preserve">学科门类 </w:t>
            </w:r>
          </w:p>
        </w:tc>
        <w:tc>
          <w:tcPr>
            <w:tcW w:w="2625" w:type="dxa"/>
            <w:shd w:val="clear" w:color="auto" w:fill="F3F3F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b/>
                <w:color w:val="3E3E3E"/>
                <w:szCs w:val="21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color w:val="3E3E3E"/>
                <w:kern w:val="0"/>
                <w:szCs w:val="21"/>
              </w:rPr>
              <w:t xml:space="preserve">需求专业（含一级学科覆盖的二三级专业）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7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医学类 </w:t>
            </w:r>
          </w:p>
        </w:tc>
        <w:tc>
          <w:tcPr>
            <w:tcW w:w="26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基础医学、临床医学、口腔医学、公共卫生与预防医学、中医学、中西医结合、药学、中药学、护理学、医学技术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7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法学类 </w:t>
            </w:r>
          </w:p>
        </w:tc>
        <w:tc>
          <w:tcPr>
            <w:tcW w:w="26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法学、马克思主义理论、政治学、社会学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7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管理学类 </w:t>
            </w:r>
          </w:p>
        </w:tc>
        <w:tc>
          <w:tcPr>
            <w:tcW w:w="26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管理科学与工程、工商管理、公共管理、图书情报与档案管理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7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教育学类 </w:t>
            </w:r>
          </w:p>
        </w:tc>
        <w:tc>
          <w:tcPr>
            <w:tcW w:w="26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教育学、心理学、体育学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7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文学类 </w:t>
            </w:r>
          </w:p>
        </w:tc>
        <w:tc>
          <w:tcPr>
            <w:tcW w:w="26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外国语言文学（英语方向）、中国语言文学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27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理学类 </w:t>
            </w:r>
          </w:p>
        </w:tc>
        <w:tc>
          <w:tcPr>
            <w:tcW w:w="26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数学、物理学、化学、生物学、统计学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27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工学类 </w:t>
            </w:r>
          </w:p>
        </w:tc>
        <w:tc>
          <w:tcPr>
            <w:tcW w:w="26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光学工程、生物医学工程、计算机科学与技术、信息与通信工程、电子科学与技术、软件工程、生物工程、食品科学与工程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27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哲学类 </w:t>
            </w:r>
          </w:p>
        </w:tc>
        <w:tc>
          <w:tcPr>
            <w:tcW w:w="26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哲学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27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经济学类 </w:t>
            </w:r>
          </w:p>
        </w:tc>
        <w:tc>
          <w:tcPr>
            <w:tcW w:w="26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理论经济学、应用经济学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20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27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历史学类 </w:t>
            </w:r>
          </w:p>
        </w:tc>
        <w:tc>
          <w:tcPr>
            <w:tcW w:w="26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中国史、世界史 </w:t>
            </w:r>
          </w:p>
        </w:tc>
      </w:tr>
    </w:tbl>
    <w:p>
      <w:pPr>
        <w:spacing w:line="400" w:lineRule="exact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spacing w:line="400" w:lineRule="exact"/>
        <w:ind w:firstLine="482" w:firstLineChars="200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</w:rPr>
        <w:t>二、</w:t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引进待遇(人民币，下同)</w:t>
      </w:r>
    </w:p>
    <w:tbl>
      <w:tblPr>
        <w:tblStyle w:val="10"/>
        <w:tblW w:w="7524" w:type="dxa"/>
        <w:jc w:val="center"/>
        <w:tblCellSpacing w:w="7" w:type="dxa"/>
        <w:tblInd w:w="42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shd w:val="clear" w:color="auto" w:fill="BABAB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3"/>
        <w:gridCol w:w="2151"/>
        <w:gridCol w:w="1312"/>
        <w:gridCol w:w="2173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7" w:type="dxa"/>
          <w:jc w:val="center"/>
        </w:trPr>
        <w:tc>
          <w:tcPr>
            <w:tcW w:w="1182" w:type="dxa"/>
            <w:shd w:val="clear" w:color="auto" w:fill="F3F3F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b/>
                <w:color w:val="3E3E3E"/>
                <w:szCs w:val="21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color w:val="3E3E3E"/>
                <w:kern w:val="0"/>
                <w:szCs w:val="21"/>
              </w:rPr>
              <w:t xml:space="preserve">引进类别 </w:t>
            </w:r>
          </w:p>
        </w:tc>
        <w:tc>
          <w:tcPr>
            <w:tcW w:w="2137" w:type="dxa"/>
            <w:shd w:val="clear" w:color="auto" w:fill="F3F3F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b/>
                <w:color w:val="3E3E3E"/>
                <w:szCs w:val="21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color w:val="3E3E3E"/>
                <w:kern w:val="0"/>
                <w:szCs w:val="21"/>
              </w:rPr>
              <w:t xml:space="preserve">安家费 </w:t>
            </w:r>
          </w:p>
        </w:tc>
        <w:tc>
          <w:tcPr>
            <w:tcW w:w="1298" w:type="dxa"/>
            <w:shd w:val="clear" w:color="auto" w:fill="F3F3F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b/>
                <w:color w:val="3E3E3E"/>
                <w:szCs w:val="21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color w:val="3E3E3E"/>
                <w:kern w:val="0"/>
                <w:szCs w:val="21"/>
              </w:rPr>
              <w:t xml:space="preserve">租房补贴 </w:t>
            </w:r>
          </w:p>
        </w:tc>
        <w:tc>
          <w:tcPr>
            <w:tcW w:w="2159" w:type="dxa"/>
            <w:shd w:val="clear" w:color="auto" w:fill="F3F3F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b/>
                <w:color w:val="3E3E3E"/>
                <w:szCs w:val="21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color w:val="3E3E3E"/>
                <w:kern w:val="0"/>
                <w:szCs w:val="21"/>
              </w:rPr>
              <w:t xml:space="preserve">薪酬及待遇 </w:t>
            </w:r>
          </w:p>
        </w:tc>
        <w:tc>
          <w:tcPr>
            <w:tcW w:w="664" w:type="dxa"/>
            <w:shd w:val="clear" w:color="auto" w:fill="F3F3F3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b/>
                <w:color w:val="3E3E3E"/>
                <w:szCs w:val="21"/>
              </w:rPr>
            </w:pPr>
            <w:r>
              <w:rPr>
                <w:rFonts w:hint="eastAsia" w:ascii="Microsoft YaHei" w:hAnsi="Microsoft YaHei" w:eastAsia="Microsoft YaHei" w:cs="Microsoft YaHei"/>
                <w:b/>
                <w:color w:val="3E3E3E"/>
                <w:kern w:val="0"/>
                <w:szCs w:val="21"/>
              </w:rPr>
              <w:t xml:space="preserve">科研启动经费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 w:color="auto" w:fill="BABAB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1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A类博士 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23-28万元(自然学科,税后）；18-23万元（人文学科,税后） （含当地政府发放的安家费及生活补贴。学校发放部分按12个月平均发放） </w:t>
            </w:r>
          </w:p>
        </w:tc>
        <w:tc>
          <w:tcPr>
            <w:tcW w:w="12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学校提供公租房；如未能申请成功，学校可提供房租补贴1200元/月，最长24个月。 </w:t>
            </w:r>
          </w:p>
        </w:tc>
        <w:tc>
          <w:tcPr>
            <w:tcW w:w="21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基本工资标准按国家政策兑现中级职称待遇（专十级），校内绩效享受校聘副教授待遇2年，2年后按实际职称兑现待遇 </w:t>
            </w:r>
          </w:p>
        </w:tc>
        <w:tc>
          <w:tcPr>
            <w:tcW w:w="6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10-20万元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5" w:hRule="atLeast"/>
          <w:tblCellSpacing w:w="7" w:type="dxa"/>
          <w:jc w:val="center"/>
        </w:trPr>
        <w:tc>
          <w:tcPr>
            <w:tcW w:w="11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B类博士 </w:t>
            </w:r>
          </w:p>
        </w:tc>
        <w:tc>
          <w:tcPr>
            <w:tcW w:w="21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18-23万元（自然学科,税后）；13-18（人文学科,税后） （含当地政府发放的安家费及生活补贴,学校发放部分按12个月平均发放） </w:t>
            </w:r>
          </w:p>
        </w:tc>
        <w:tc>
          <w:tcPr>
            <w:tcW w:w="12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工资标准及校内绩效执行中级职称待遇（专十级） </w:t>
            </w:r>
          </w:p>
        </w:tc>
        <w:tc>
          <w:tcPr>
            <w:tcW w:w="6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Microsoft YaHei" w:hAnsi="Microsoft YaHei" w:eastAsia="Microsoft YaHei" w:cs="Microsoft YaHei"/>
                <w:color w:val="494949"/>
                <w:sz w:val="18"/>
                <w:szCs w:val="18"/>
              </w:rPr>
            </w:pPr>
            <w:r>
              <w:rPr>
                <w:rFonts w:hint="eastAsia" w:ascii="Microsoft YaHei" w:hAnsi="Microsoft YaHei" w:eastAsia="Microsoft YaHei" w:cs="Microsoft YaHei"/>
                <w:color w:val="494949"/>
                <w:kern w:val="0"/>
                <w:sz w:val="18"/>
                <w:szCs w:val="18"/>
              </w:rPr>
              <w:t xml:space="preserve">5-10万元 </w:t>
            </w:r>
          </w:p>
        </w:tc>
      </w:tr>
    </w:tbl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注：A类博士系指海内外知名院校（世界高校排名前200名、“985”高校、“211”高校、中科院等）毕业的博士，年龄一般不超过40周岁，近三年在本学科权威刊物上以第一作者（不包括非第一排名的共同作者）发布学术论文并被SCI、EL收录多篇，累计影响因子5.0以上或单篇影响因子3.0以上。 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特别优秀的人才不受上述限制，采用一事一议，具体面议。 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</w:p>
    <w:p>
      <w:pPr>
        <w:widowControl/>
        <w:spacing w:line="400" w:lineRule="exact"/>
        <w:ind w:firstLine="482" w:firstLineChars="200"/>
        <w:jc w:val="left"/>
        <w:rPr>
          <w:rFonts w:asciiTheme="majorEastAsia" w:hAnsiTheme="majorEastAsia" w:eastAsiaTheme="majorEastAsia" w:cstheme="majorEastAsia"/>
          <w:b/>
          <w:bCs/>
          <w:kern w:val="0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</w:rPr>
        <w:t>三、通迅地址及联系方式：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地址：四川省泸州市龙马潭区香林路1段1号德诚楼7楼西南医科大学人事处 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电话：0830-3160509  联系人：李老师 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>电子邮箱:swmuhr@163.com、swmuhr@126.com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>招聘网址：http://www.swmu.edu.cn/info/1078/5267.htm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邮编：646000 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</w:p>
    <w:p>
      <w:pPr>
        <w:numPr>
          <w:ilvl w:val="0"/>
          <w:numId w:val="1"/>
        </w:numPr>
        <w:spacing w:line="400" w:lineRule="exact"/>
        <w:ind w:firstLine="482" w:firstLineChars="200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来校考察路线：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泸州蓝田机场现因故大部分航线处于停飞状态，考察人员可经重庆或成都中转，建议首选重庆。（新建的云龙机场2018年7月恢复通航） 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1、飞抵重庆：T2、T3航站楼乘至泸州的机场大巴专线，全天候滚动发车，购票及上车地点位于航站楼内，较方便；也可拼车到泸州，泸渝快的订票电话18980257979，票价150元/人，需在航班起飞前预定。 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2、乘高铁到重庆：重庆北站—隆昌北站（约40分钟），出隆昌北站后有直达泸州的客运车。也可拼车到泸，订票电话15182511188,票价50元/人。隆昌北站到泸州约1小时。 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3、乘高铁到成都：成都东站—隆昌北站（约50分钟），出隆昌北站后有直达泸州的客运车。也可拼车到泸，订票电话15182511188,票价50元/人。隆昌北站到泸州约1小时。 </w:t>
      </w:r>
    </w:p>
    <w:p>
      <w:pPr>
        <w:pStyle w:val="5"/>
        <w:widowControl/>
        <w:spacing w:beforeAutospacing="0" w:afterAutospacing="0" w:line="400" w:lineRule="exact"/>
        <w:ind w:firstLine="450"/>
        <w:rPr>
          <w:rFonts w:ascii="Microsoft YaHei" w:hAnsi="Microsoft YaHei" w:eastAsia="Microsoft YaHei" w:cs="Microsoft YaHei"/>
          <w:color w:val="313131"/>
          <w:sz w:val="22"/>
          <w:szCs w:val="22"/>
        </w:rPr>
      </w:pPr>
      <w:r>
        <w:rPr>
          <w:rFonts w:hint="eastAsia" w:ascii="Microsoft YaHei" w:hAnsi="Microsoft YaHei" w:eastAsia="Microsoft YaHei" w:cs="Microsoft YaHei"/>
          <w:color w:val="313131"/>
          <w:sz w:val="22"/>
          <w:szCs w:val="22"/>
        </w:rPr>
        <w:t xml:space="preserve">除四川和重庆，从其余省市来我校考察面试，我校可报销一定的交通费及住宿费。具体请与我校工作人员联系。 </w:t>
      </w:r>
    </w:p>
    <w:p>
      <w:pPr>
        <w:pStyle w:val="5"/>
        <w:widowControl/>
        <w:spacing w:beforeAutospacing="0" w:afterAutospacing="0" w:line="400" w:lineRule="exact"/>
        <w:ind w:firstLine="450"/>
        <w:jc w:val="both"/>
        <w:rPr>
          <w:rFonts w:ascii="Microsoft YaHei" w:hAnsi="Microsoft YaHei" w:eastAsia="Microsoft YaHei" w:cs="Microsoft YaHei"/>
          <w:color w:val="313131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32FA2"/>
    <w:multiLevelType w:val="singleLevel"/>
    <w:tmpl w:val="98132FA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99"/>
    <w:rsid w:val="0007413F"/>
    <w:rsid w:val="000E3AC3"/>
    <w:rsid w:val="00107AA3"/>
    <w:rsid w:val="00126024"/>
    <w:rsid w:val="001A4F90"/>
    <w:rsid w:val="00242B89"/>
    <w:rsid w:val="00287E5F"/>
    <w:rsid w:val="002A7DD0"/>
    <w:rsid w:val="00320C99"/>
    <w:rsid w:val="00366EA7"/>
    <w:rsid w:val="003E5DCA"/>
    <w:rsid w:val="00405985"/>
    <w:rsid w:val="00462FAE"/>
    <w:rsid w:val="004F04D0"/>
    <w:rsid w:val="005907E5"/>
    <w:rsid w:val="005C6121"/>
    <w:rsid w:val="0060271A"/>
    <w:rsid w:val="006453D3"/>
    <w:rsid w:val="00664D3C"/>
    <w:rsid w:val="00685165"/>
    <w:rsid w:val="006D218B"/>
    <w:rsid w:val="006E74B5"/>
    <w:rsid w:val="007443CC"/>
    <w:rsid w:val="007C1356"/>
    <w:rsid w:val="007C14C0"/>
    <w:rsid w:val="007F5BA6"/>
    <w:rsid w:val="00850326"/>
    <w:rsid w:val="00880C37"/>
    <w:rsid w:val="00896694"/>
    <w:rsid w:val="00955DBC"/>
    <w:rsid w:val="009C1DF4"/>
    <w:rsid w:val="009E53FA"/>
    <w:rsid w:val="00A313BD"/>
    <w:rsid w:val="00A40357"/>
    <w:rsid w:val="00B46550"/>
    <w:rsid w:val="00B743DB"/>
    <w:rsid w:val="00BA70BC"/>
    <w:rsid w:val="00BD2DC2"/>
    <w:rsid w:val="00C71B8C"/>
    <w:rsid w:val="00CD7F75"/>
    <w:rsid w:val="00D85792"/>
    <w:rsid w:val="00DE6092"/>
    <w:rsid w:val="00E0046A"/>
    <w:rsid w:val="00E038CE"/>
    <w:rsid w:val="00E33400"/>
    <w:rsid w:val="00EB303E"/>
    <w:rsid w:val="00EE1995"/>
    <w:rsid w:val="00EE2556"/>
    <w:rsid w:val="00F17983"/>
    <w:rsid w:val="00F50AAF"/>
    <w:rsid w:val="00F957BA"/>
    <w:rsid w:val="00FB4A4B"/>
    <w:rsid w:val="019D22FA"/>
    <w:rsid w:val="02B73948"/>
    <w:rsid w:val="036F6051"/>
    <w:rsid w:val="04966823"/>
    <w:rsid w:val="05062A9C"/>
    <w:rsid w:val="051A5BAF"/>
    <w:rsid w:val="05323BDE"/>
    <w:rsid w:val="055726FE"/>
    <w:rsid w:val="05C63620"/>
    <w:rsid w:val="05E2163C"/>
    <w:rsid w:val="071F374E"/>
    <w:rsid w:val="077B60D6"/>
    <w:rsid w:val="07C01544"/>
    <w:rsid w:val="09121704"/>
    <w:rsid w:val="09396E54"/>
    <w:rsid w:val="09AA4D0C"/>
    <w:rsid w:val="0A1E04C1"/>
    <w:rsid w:val="0D2B7093"/>
    <w:rsid w:val="0DD06015"/>
    <w:rsid w:val="0E694656"/>
    <w:rsid w:val="0E812660"/>
    <w:rsid w:val="12A8789D"/>
    <w:rsid w:val="134A2C3A"/>
    <w:rsid w:val="13B82B1C"/>
    <w:rsid w:val="13FF355B"/>
    <w:rsid w:val="15D82B6A"/>
    <w:rsid w:val="17051E8A"/>
    <w:rsid w:val="17DC0DD0"/>
    <w:rsid w:val="1A0304FE"/>
    <w:rsid w:val="1ABF6E84"/>
    <w:rsid w:val="1F144F86"/>
    <w:rsid w:val="206A6887"/>
    <w:rsid w:val="23D41F07"/>
    <w:rsid w:val="23E22706"/>
    <w:rsid w:val="28507EB6"/>
    <w:rsid w:val="28534109"/>
    <w:rsid w:val="2B2A6338"/>
    <w:rsid w:val="2BF85429"/>
    <w:rsid w:val="2D054A13"/>
    <w:rsid w:val="2D214C4C"/>
    <w:rsid w:val="316F136C"/>
    <w:rsid w:val="34753B32"/>
    <w:rsid w:val="35502D84"/>
    <w:rsid w:val="376C3ADC"/>
    <w:rsid w:val="3C1F1208"/>
    <w:rsid w:val="3C55451F"/>
    <w:rsid w:val="3D2E6F88"/>
    <w:rsid w:val="3FC62AF4"/>
    <w:rsid w:val="415E0CE8"/>
    <w:rsid w:val="41B20C21"/>
    <w:rsid w:val="41D9567A"/>
    <w:rsid w:val="42EB76EC"/>
    <w:rsid w:val="447C2CFF"/>
    <w:rsid w:val="4595658A"/>
    <w:rsid w:val="45B82515"/>
    <w:rsid w:val="467A4BD3"/>
    <w:rsid w:val="48402688"/>
    <w:rsid w:val="48C012DC"/>
    <w:rsid w:val="4A3913F6"/>
    <w:rsid w:val="4CBB5A3B"/>
    <w:rsid w:val="4D1B75F6"/>
    <w:rsid w:val="4D6550EB"/>
    <w:rsid w:val="4DEC0E07"/>
    <w:rsid w:val="4F8928DD"/>
    <w:rsid w:val="4FAD0E76"/>
    <w:rsid w:val="50FE7E0A"/>
    <w:rsid w:val="52114CE1"/>
    <w:rsid w:val="527D21B2"/>
    <w:rsid w:val="55D1727C"/>
    <w:rsid w:val="5758603C"/>
    <w:rsid w:val="58662E95"/>
    <w:rsid w:val="58767FF4"/>
    <w:rsid w:val="5AE17903"/>
    <w:rsid w:val="5AF43AF5"/>
    <w:rsid w:val="5B6C0B35"/>
    <w:rsid w:val="5C1919AD"/>
    <w:rsid w:val="5D38490D"/>
    <w:rsid w:val="5DFF631F"/>
    <w:rsid w:val="608C5B86"/>
    <w:rsid w:val="63FD5C8E"/>
    <w:rsid w:val="643541CC"/>
    <w:rsid w:val="682039CA"/>
    <w:rsid w:val="691B1BFA"/>
    <w:rsid w:val="6ABB28BC"/>
    <w:rsid w:val="6CFF65EE"/>
    <w:rsid w:val="6D971F43"/>
    <w:rsid w:val="6ED807ED"/>
    <w:rsid w:val="707A1883"/>
    <w:rsid w:val="71F87EF0"/>
    <w:rsid w:val="74EC2D0B"/>
    <w:rsid w:val="74FD3389"/>
    <w:rsid w:val="764D1B32"/>
    <w:rsid w:val="79F1679E"/>
    <w:rsid w:val="7A3F643F"/>
    <w:rsid w:val="7B0F25C5"/>
    <w:rsid w:val="7BCF0F05"/>
    <w:rsid w:val="7C2C5E39"/>
    <w:rsid w:val="7D1F6F6E"/>
    <w:rsid w:val="7D2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SimSun" w:hAnsi="SimSun" w:eastAsia="SimSun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rFonts w:hint="eastAsia" w:ascii="SimSun" w:hAnsi="SimSun" w:eastAsia="SimSun" w:cs="SimSun"/>
      <w:color w:val="000000"/>
      <w:sz w:val="18"/>
      <w:szCs w:val="18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6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286</Words>
  <Characters>1636</Characters>
  <Lines>13</Lines>
  <Paragraphs>3</Paragraphs>
  <ScaleCrop>false</ScaleCrop>
  <LinksUpToDate>false</LinksUpToDate>
  <CharactersWithSpaces>1919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qch</dc:creator>
  <cp:lastModifiedBy>小锅</cp:lastModifiedBy>
  <cp:lastPrinted>2017-03-06T09:48:00Z</cp:lastPrinted>
  <dcterms:modified xsi:type="dcterms:W3CDTF">2018-04-05T16:14:20Z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